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ED" w:rsidRDefault="0095648E" w:rsidP="0095648E">
      <w:pPr>
        <w:jc w:val="center"/>
        <w:rPr>
          <w:b/>
        </w:rPr>
      </w:pPr>
      <w:bookmarkStart w:id="0" w:name="_GoBack"/>
      <w:r w:rsidRPr="0095648E">
        <w:rPr>
          <w:b/>
        </w:rPr>
        <w:t>Dữ liệu điểm trông giữ xe trên địa bàn huyện</w:t>
      </w:r>
    </w:p>
    <w:bookmarkEnd w:id="0"/>
    <w:p w:rsidR="0095648E" w:rsidRPr="0095648E" w:rsidRDefault="0095648E" w:rsidP="0095648E">
      <w:pPr>
        <w:jc w:val="center"/>
        <w:rPr>
          <w:b/>
        </w:rPr>
      </w:pPr>
    </w:p>
    <w:p w:rsidR="0095648E" w:rsidRDefault="0095648E" w:rsidP="0095648E">
      <w:pPr>
        <w:spacing w:after="120"/>
        <w:jc w:val="both"/>
        <w:rPr>
          <w:color w:val="000000"/>
          <w:sz w:val="27"/>
          <w:szCs w:val="27"/>
        </w:rPr>
      </w:pPr>
      <w:r>
        <w:tab/>
        <w:t xml:space="preserve">Được ủy ban nhân dân tỉnh quy định tại Quyết định số 1065/QĐ-UBND ngày 23/6/2020 của UBND tỉnh Cao Bằng ban hành danh mục tuyến đường được phép sử dụng  một phần lòng đường đỗ xe có thu phí và danh mục các công trình, tuyến phố được phép sử dụng một phần hè phố vào ciệc kinh doanh, buôn bán có thu phí trên địa bàn tỉnh Cao Bằng </w:t>
      </w:r>
      <w:r>
        <w:rPr>
          <w:color w:val="000000"/>
          <w:sz w:val="27"/>
          <w:szCs w:val="27"/>
        </w:rPr>
        <w:t>và Nghị quyết số 42/2019/NQ-HĐND tỉnh quy định mức thu, chế độ thu, nộp, quản lý và sử dụng tạm thời một phần lòng đường, hè phố trên địa bàn tỉnh Cao Bằng, cụ thể:</w:t>
      </w:r>
    </w:p>
    <w:p w:rsidR="0095648E" w:rsidRDefault="0095648E" w:rsidP="0095648E">
      <w:pPr>
        <w:spacing w:after="120"/>
        <w:jc w:val="both"/>
        <w:rPr>
          <w:color w:val="000000"/>
          <w:sz w:val="27"/>
          <w:szCs w:val="27"/>
        </w:rPr>
      </w:pPr>
      <w:r>
        <w:rPr>
          <w:color w:val="000000"/>
          <w:sz w:val="27"/>
          <w:szCs w:val="27"/>
        </w:rPr>
        <w:tab/>
        <w:t>Danh mục các công trình, tuyến phố được phép sử dụng một phần hè phố vào việc kinh doanh, buôn bán có thu phí:</w:t>
      </w:r>
    </w:p>
    <w:p w:rsidR="0095648E" w:rsidRDefault="0095648E">
      <w:pPr>
        <w:rPr>
          <w:color w:val="000000"/>
          <w:sz w:val="27"/>
          <w:szCs w:val="27"/>
        </w:rPr>
      </w:pPr>
    </w:p>
    <w:tbl>
      <w:tblPr>
        <w:tblStyle w:val="TableGrid"/>
        <w:tblW w:w="0" w:type="auto"/>
        <w:tblLook w:val="04A0" w:firstRow="1" w:lastRow="0" w:firstColumn="1" w:lastColumn="0" w:noHBand="0" w:noVBand="1"/>
      </w:tblPr>
      <w:tblGrid>
        <w:gridCol w:w="817"/>
        <w:gridCol w:w="1918"/>
        <w:gridCol w:w="1309"/>
        <w:gridCol w:w="1311"/>
        <w:gridCol w:w="1311"/>
        <w:gridCol w:w="1311"/>
        <w:gridCol w:w="1311"/>
      </w:tblGrid>
      <w:tr w:rsidR="0095648E" w:rsidTr="0095648E">
        <w:tc>
          <w:tcPr>
            <w:tcW w:w="817" w:type="dxa"/>
            <w:vAlign w:val="center"/>
          </w:tcPr>
          <w:p w:rsidR="0095648E" w:rsidRPr="0095648E" w:rsidRDefault="0095648E" w:rsidP="0095648E">
            <w:pPr>
              <w:jc w:val="center"/>
              <w:rPr>
                <w:b/>
                <w:sz w:val="24"/>
                <w:szCs w:val="24"/>
              </w:rPr>
            </w:pPr>
            <w:r w:rsidRPr="0095648E">
              <w:rPr>
                <w:b/>
                <w:sz w:val="24"/>
                <w:szCs w:val="24"/>
              </w:rPr>
              <w:t>TT</w:t>
            </w:r>
          </w:p>
        </w:tc>
        <w:tc>
          <w:tcPr>
            <w:tcW w:w="1918" w:type="dxa"/>
            <w:vAlign w:val="center"/>
          </w:tcPr>
          <w:p w:rsidR="0095648E" w:rsidRPr="0095648E" w:rsidRDefault="0095648E" w:rsidP="0095648E">
            <w:pPr>
              <w:jc w:val="center"/>
              <w:rPr>
                <w:b/>
                <w:sz w:val="24"/>
                <w:szCs w:val="24"/>
              </w:rPr>
            </w:pPr>
            <w:r w:rsidRPr="0095648E">
              <w:rPr>
                <w:b/>
                <w:sz w:val="24"/>
                <w:szCs w:val="24"/>
              </w:rPr>
              <w:t>Tên đường</w:t>
            </w:r>
          </w:p>
        </w:tc>
        <w:tc>
          <w:tcPr>
            <w:tcW w:w="1309" w:type="dxa"/>
            <w:vAlign w:val="center"/>
          </w:tcPr>
          <w:p w:rsidR="0095648E" w:rsidRPr="0095648E" w:rsidRDefault="0095648E" w:rsidP="0095648E">
            <w:pPr>
              <w:jc w:val="center"/>
              <w:rPr>
                <w:b/>
                <w:sz w:val="24"/>
                <w:szCs w:val="24"/>
              </w:rPr>
            </w:pPr>
            <w:r w:rsidRPr="0095648E">
              <w:rPr>
                <w:b/>
                <w:sz w:val="24"/>
                <w:szCs w:val="24"/>
              </w:rPr>
              <w:t>Điểm đầu</w:t>
            </w:r>
          </w:p>
        </w:tc>
        <w:tc>
          <w:tcPr>
            <w:tcW w:w="1311" w:type="dxa"/>
            <w:vAlign w:val="center"/>
          </w:tcPr>
          <w:p w:rsidR="0095648E" w:rsidRPr="0095648E" w:rsidRDefault="0095648E" w:rsidP="0095648E">
            <w:pPr>
              <w:jc w:val="center"/>
              <w:rPr>
                <w:b/>
                <w:sz w:val="24"/>
                <w:szCs w:val="24"/>
              </w:rPr>
            </w:pPr>
            <w:r w:rsidRPr="0095648E">
              <w:rPr>
                <w:b/>
                <w:sz w:val="24"/>
                <w:szCs w:val="24"/>
              </w:rPr>
              <w:t>Điểm cuối</w:t>
            </w:r>
          </w:p>
        </w:tc>
        <w:tc>
          <w:tcPr>
            <w:tcW w:w="1311" w:type="dxa"/>
            <w:vAlign w:val="center"/>
          </w:tcPr>
          <w:p w:rsidR="0095648E" w:rsidRPr="0095648E" w:rsidRDefault="0095648E" w:rsidP="0095648E">
            <w:pPr>
              <w:jc w:val="center"/>
              <w:rPr>
                <w:b/>
                <w:sz w:val="24"/>
                <w:szCs w:val="24"/>
              </w:rPr>
            </w:pPr>
            <w:r w:rsidRPr="0095648E">
              <w:rPr>
                <w:b/>
                <w:sz w:val="24"/>
                <w:szCs w:val="24"/>
              </w:rPr>
              <w:t>Chiều dài (m)</w:t>
            </w:r>
          </w:p>
        </w:tc>
        <w:tc>
          <w:tcPr>
            <w:tcW w:w="1311" w:type="dxa"/>
            <w:vAlign w:val="center"/>
          </w:tcPr>
          <w:p w:rsidR="0095648E" w:rsidRPr="0095648E" w:rsidRDefault="0095648E" w:rsidP="0095648E">
            <w:pPr>
              <w:jc w:val="center"/>
              <w:rPr>
                <w:b/>
                <w:sz w:val="24"/>
                <w:szCs w:val="24"/>
              </w:rPr>
            </w:pPr>
            <w:r w:rsidRPr="0095648E">
              <w:rPr>
                <w:b/>
                <w:sz w:val="24"/>
                <w:szCs w:val="24"/>
              </w:rPr>
              <w:t>Chiều rộng vỉa hè</w:t>
            </w:r>
          </w:p>
        </w:tc>
        <w:tc>
          <w:tcPr>
            <w:tcW w:w="1311" w:type="dxa"/>
            <w:vAlign w:val="center"/>
          </w:tcPr>
          <w:p w:rsidR="0095648E" w:rsidRPr="0095648E" w:rsidRDefault="0095648E" w:rsidP="0095648E">
            <w:pPr>
              <w:jc w:val="center"/>
              <w:rPr>
                <w:b/>
                <w:sz w:val="24"/>
                <w:szCs w:val="24"/>
              </w:rPr>
            </w:pPr>
            <w:r w:rsidRPr="0095648E">
              <w:rPr>
                <w:b/>
                <w:sz w:val="24"/>
                <w:szCs w:val="24"/>
              </w:rPr>
              <w:t>Ghi chú</w:t>
            </w:r>
          </w:p>
        </w:tc>
      </w:tr>
      <w:tr w:rsidR="0095648E" w:rsidTr="0095648E">
        <w:tc>
          <w:tcPr>
            <w:tcW w:w="817" w:type="dxa"/>
            <w:vAlign w:val="center"/>
          </w:tcPr>
          <w:p w:rsidR="0095648E" w:rsidRPr="0095648E" w:rsidRDefault="0095648E" w:rsidP="0095648E">
            <w:pPr>
              <w:jc w:val="center"/>
              <w:rPr>
                <w:sz w:val="24"/>
                <w:szCs w:val="24"/>
              </w:rPr>
            </w:pPr>
            <w:r w:rsidRPr="0095648E">
              <w:rPr>
                <w:sz w:val="24"/>
                <w:szCs w:val="24"/>
              </w:rPr>
              <w:t>1</w:t>
            </w:r>
          </w:p>
        </w:tc>
        <w:tc>
          <w:tcPr>
            <w:tcW w:w="1918" w:type="dxa"/>
            <w:vAlign w:val="center"/>
          </w:tcPr>
          <w:p w:rsidR="0095648E" w:rsidRPr="0095648E" w:rsidRDefault="0095648E" w:rsidP="0095648E">
            <w:pPr>
              <w:jc w:val="center"/>
              <w:rPr>
                <w:sz w:val="24"/>
                <w:szCs w:val="24"/>
              </w:rPr>
            </w:pPr>
            <w:r w:rsidRPr="0095648E">
              <w:rPr>
                <w:color w:val="000000"/>
                <w:sz w:val="24"/>
                <w:szCs w:val="24"/>
                <w:shd w:val="clear" w:color="auto" w:fill="FFFFFF"/>
              </w:rPr>
              <w:t>Đoạn Km209+100 đến Km211+860</w:t>
            </w:r>
          </w:p>
        </w:tc>
        <w:tc>
          <w:tcPr>
            <w:tcW w:w="1309" w:type="dxa"/>
            <w:vAlign w:val="center"/>
          </w:tcPr>
          <w:p w:rsidR="0095648E" w:rsidRPr="0095648E" w:rsidRDefault="0095648E" w:rsidP="0095648E">
            <w:pPr>
              <w:jc w:val="center"/>
              <w:rPr>
                <w:sz w:val="24"/>
                <w:szCs w:val="24"/>
              </w:rPr>
            </w:pPr>
            <w:r w:rsidRPr="0095648E">
              <w:rPr>
                <w:color w:val="000000"/>
                <w:sz w:val="24"/>
                <w:szCs w:val="24"/>
                <w:shd w:val="clear" w:color="auto" w:fill="FFFFFF"/>
              </w:rPr>
              <w:t>Tiếp giáp xã Thể Dục</w:t>
            </w:r>
          </w:p>
        </w:tc>
        <w:tc>
          <w:tcPr>
            <w:tcW w:w="1311" w:type="dxa"/>
            <w:vAlign w:val="center"/>
          </w:tcPr>
          <w:p w:rsidR="0095648E" w:rsidRPr="0095648E" w:rsidRDefault="0095648E" w:rsidP="0095648E">
            <w:pPr>
              <w:jc w:val="center"/>
              <w:rPr>
                <w:sz w:val="24"/>
                <w:szCs w:val="24"/>
              </w:rPr>
            </w:pPr>
            <w:r w:rsidRPr="0095648E">
              <w:rPr>
                <w:color w:val="000000"/>
                <w:sz w:val="24"/>
                <w:szCs w:val="24"/>
                <w:shd w:val="clear" w:color="auto" w:fill="FFFFFF"/>
              </w:rPr>
              <w:t>Ngã 3 đường rẽ đi xã Tam Kim</w:t>
            </w:r>
          </w:p>
        </w:tc>
        <w:tc>
          <w:tcPr>
            <w:tcW w:w="1311" w:type="dxa"/>
            <w:vAlign w:val="center"/>
          </w:tcPr>
          <w:p w:rsidR="0095648E" w:rsidRPr="0095648E" w:rsidRDefault="0095648E" w:rsidP="0095648E">
            <w:pPr>
              <w:jc w:val="center"/>
              <w:rPr>
                <w:sz w:val="24"/>
                <w:szCs w:val="24"/>
              </w:rPr>
            </w:pPr>
          </w:p>
        </w:tc>
        <w:tc>
          <w:tcPr>
            <w:tcW w:w="1311" w:type="dxa"/>
            <w:vAlign w:val="center"/>
          </w:tcPr>
          <w:p w:rsidR="0095648E" w:rsidRPr="0095648E" w:rsidRDefault="0095648E" w:rsidP="0095648E">
            <w:pPr>
              <w:jc w:val="center"/>
              <w:rPr>
                <w:sz w:val="24"/>
                <w:szCs w:val="24"/>
              </w:rPr>
            </w:pPr>
            <w:r w:rsidRPr="0095648E">
              <w:rPr>
                <w:color w:val="000000"/>
                <w:sz w:val="24"/>
                <w:szCs w:val="24"/>
                <w:shd w:val="clear" w:color="auto" w:fill="FFFFFF"/>
              </w:rPr>
              <w:t>Chiều rộng từ 1m đến 3m</w:t>
            </w:r>
          </w:p>
        </w:tc>
        <w:tc>
          <w:tcPr>
            <w:tcW w:w="1311" w:type="dxa"/>
            <w:vAlign w:val="center"/>
          </w:tcPr>
          <w:p w:rsidR="0095648E" w:rsidRPr="0095648E" w:rsidRDefault="0095648E" w:rsidP="0095648E">
            <w:pPr>
              <w:jc w:val="center"/>
              <w:rPr>
                <w:sz w:val="24"/>
                <w:szCs w:val="24"/>
              </w:rPr>
            </w:pPr>
            <w:r w:rsidRPr="0095648E">
              <w:rPr>
                <w:color w:val="000000"/>
                <w:sz w:val="24"/>
                <w:szCs w:val="24"/>
                <w:shd w:val="clear" w:color="auto" w:fill="FFFFFF"/>
              </w:rPr>
              <w:t>Sử dụng những đoạn có hè phố rộng 3m trên tuyến</w:t>
            </w:r>
          </w:p>
        </w:tc>
      </w:tr>
    </w:tbl>
    <w:p w:rsidR="0095648E" w:rsidRDefault="0095648E">
      <w:pPr>
        <w:rPr>
          <w:rFonts w:ascii="Arial" w:hAnsi="Arial" w:cs="Arial"/>
          <w:i/>
          <w:iCs/>
          <w:color w:val="000000"/>
          <w:sz w:val="18"/>
          <w:szCs w:val="18"/>
          <w:shd w:val="clear" w:color="auto" w:fill="FFFFFF"/>
        </w:rPr>
      </w:pPr>
    </w:p>
    <w:p w:rsidR="0095648E" w:rsidRPr="0095648E" w:rsidRDefault="0095648E" w:rsidP="0095648E">
      <w:pPr>
        <w:spacing w:after="120"/>
        <w:jc w:val="both"/>
        <w:rPr>
          <w:sz w:val="26"/>
          <w:szCs w:val="26"/>
        </w:rPr>
      </w:pPr>
      <w:r>
        <w:rPr>
          <w:i/>
          <w:iCs/>
          <w:color w:val="000000"/>
          <w:sz w:val="26"/>
          <w:szCs w:val="26"/>
          <w:shd w:val="clear" w:color="auto" w:fill="FFFFFF"/>
        </w:rPr>
        <w:tab/>
      </w:r>
      <w:r w:rsidRPr="0095648E">
        <w:rPr>
          <w:i/>
          <w:iCs/>
          <w:color w:val="000000"/>
          <w:sz w:val="26"/>
          <w:szCs w:val="26"/>
          <w:shd w:val="clear" w:color="auto" w:fill="FFFFFF"/>
        </w:rPr>
        <w:t>Ghi chú: Việc sử dụng một phần vỉa hè phố phục vụ kinh doanh buôn bán phải đảm bảo an toàn, thuận tiện giao thông; bảo đảm mỹ quan, vệ sinh môi trường đô thị và không ảnh hưởng đến sinh hoạt bình thường của hộ gia đình, chủ công trình trên tuyến phố; Chiều rộng hè phố còn lại dành cho người đi bộ tối thiểu là 1,5m</w:t>
      </w:r>
    </w:p>
    <w:sectPr w:rsidR="0095648E" w:rsidRPr="0095648E" w:rsidSect="00BF658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8E"/>
    <w:rsid w:val="00675BE6"/>
    <w:rsid w:val="0095648E"/>
    <w:rsid w:val="00B54AFD"/>
    <w:rsid w:val="00BF6585"/>
    <w:rsid w:val="00E702ED"/>
    <w:rsid w:val="00F6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64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2025-01-03T01:20:00Z</dcterms:created>
  <dcterms:modified xsi:type="dcterms:W3CDTF">2025-01-03T01:58:00Z</dcterms:modified>
</cp:coreProperties>
</file>